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F14" w:rsidRDefault="002D2F14" w:rsidP="002D2F14">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2D2F14" w:rsidRDefault="002D2F14" w:rsidP="002D2F14">
      <w:pPr>
        <w:spacing w:line="480" w:lineRule="auto"/>
        <w:rPr>
          <w:rFonts w:ascii="Times New Roman" w:hAnsi="Times New Roman" w:cs="Times New Roman"/>
          <w:sz w:val="24"/>
          <w:szCs w:val="24"/>
        </w:rPr>
      </w:pPr>
      <w:r>
        <w:rPr>
          <w:rFonts w:ascii="Times New Roman" w:hAnsi="Times New Roman" w:cs="Times New Roman"/>
          <w:sz w:val="24"/>
          <w:szCs w:val="24"/>
        </w:rPr>
        <w:t xml:space="preserve">Instructor </w:t>
      </w:r>
    </w:p>
    <w:p w:rsidR="002D2F14" w:rsidRDefault="002D2F14" w:rsidP="002D2F14">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2D2F14" w:rsidRDefault="002D2F14" w:rsidP="002D2F1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A21B8" w:rsidRPr="00851B9C" w:rsidRDefault="0076687C" w:rsidP="002D2F14">
      <w:pPr>
        <w:spacing w:line="480" w:lineRule="auto"/>
        <w:jc w:val="center"/>
        <w:rPr>
          <w:rFonts w:ascii="Times New Roman" w:hAnsi="Times New Roman" w:cs="Times New Roman"/>
          <w:sz w:val="24"/>
          <w:szCs w:val="24"/>
        </w:rPr>
      </w:pPr>
      <w:r w:rsidRPr="00851B9C">
        <w:rPr>
          <w:rFonts w:ascii="Times New Roman" w:hAnsi="Times New Roman" w:cs="Times New Roman"/>
          <w:sz w:val="24"/>
          <w:szCs w:val="24"/>
        </w:rPr>
        <w:t>Introduction and the CSR Trends on the Rise</w:t>
      </w:r>
    </w:p>
    <w:p w:rsidR="002D2F14" w:rsidRPr="002D2F14" w:rsidRDefault="002D2F14" w:rsidP="002D2F14">
      <w:pPr>
        <w:spacing w:line="480" w:lineRule="auto"/>
        <w:ind w:firstLine="720"/>
        <w:rPr>
          <w:rFonts w:ascii="Times New Roman" w:hAnsi="Times New Roman" w:cs="Times New Roman"/>
          <w:sz w:val="24"/>
          <w:szCs w:val="24"/>
        </w:rPr>
      </w:pPr>
      <w:r w:rsidRPr="002D2F14">
        <w:rPr>
          <w:rFonts w:ascii="Times New Roman" w:hAnsi="Times New Roman" w:cs="Times New Roman"/>
          <w:sz w:val="24"/>
          <w:szCs w:val="24"/>
        </w:rPr>
        <w:t xml:space="preserve">The globalization of business operations has also resulted in the globalization of ideas and practice of corporate responsibility. The implication of this process on the business and the society has continued to raise more concerns especially regarding the influence of this trend on the business profile. People have continued to wonder whether this is just a passing trend or a permanent trend that will continue influencing the business operations. However, different trends show that corporate sustainability is permanent and is here to stay. This paper introduces the concept and the rising trends of corporate social responsibility. </w:t>
      </w:r>
    </w:p>
    <w:p w:rsidR="002D2F14" w:rsidRPr="002D2F14" w:rsidRDefault="002D2F14" w:rsidP="002D2F14">
      <w:pPr>
        <w:spacing w:line="480" w:lineRule="auto"/>
        <w:ind w:firstLine="720"/>
        <w:rPr>
          <w:rFonts w:ascii="Times New Roman" w:hAnsi="Times New Roman" w:cs="Times New Roman"/>
          <w:sz w:val="24"/>
          <w:szCs w:val="24"/>
        </w:rPr>
      </w:pPr>
      <w:r w:rsidRPr="002D2F14">
        <w:rPr>
          <w:rFonts w:ascii="Times New Roman" w:hAnsi="Times New Roman" w:cs="Times New Roman"/>
          <w:sz w:val="24"/>
          <w:szCs w:val="24"/>
        </w:rPr>
        <w:t xml:space="preserve">Corporate sustainability performance can be understood as the firms emphasize on the how its operations interact with its supply chain, the environment, and other important aspects to maximize its resource allocation while establishing a long-term value. The current business environment is shaped by various factors. Policies and strategic action plans are designed to ensure better performance in the corporation. KPMG report indicates that Mexico, New Zealand, and Taiwan recorded the best CR reporting rates across the world. This is because of the governments’ involvement in the stock exchange market operations that propelled better CR reporting rates. The EY report also shows that companies have now focused on creating more strategic action plans to ensure their survival in the future. For instance, the banking sector has </w:t>
      </w:r>
      <w:r w:rsidRPr="002D2F14">
        <w:rPr>
          <w:rFonts w:ascii="Times New Roman" w:hAnsi="Times New Roman" w:cs="Times New Roman"/>
          <w:sz w:val="24"/>
          <w:szCs w:val="24"/>
        </w:rPr>
        <w:lastRenderedPageBreak/>
        <w:t xml:space="preserve">designed four top priorities that will help them overcome the challenges in the future. The first strategy is managing the reputation risks. This includes conduct and culture risks within the organizations. Secondly, the banks aim at meeting the regulatory compliance and reporting standards set by the international regulators. Thirdly, the banks aim at improving the cyber or data security. Lastly, they aim at meeting the capital, liquidity, and also leverage ratio demands (Erns &amp; Young 2). As KPMG report shows, more companies (78%) have now started to include CR data in their annual financial reports. Increase in data integration has been facilitated by different factors. First, the investor and shareholder’s interest in sustainability has helped increase data integration. Secondly, the requirement that the companies need to carry out a climate-change disclosure has also facilitated the issue of data integration. As a result, many companies are today complying with the climate change regulation especially as the risks associated with the climate change become more critical and serious. Lastly, the influence of sustainability accounting standards board has also facilitated the integration of data in the United States. The KPMG report shows that countries that have recorded big rises include Japan (+21%), Mexico (+16%), and Spain (+9%). </w:t>
      </w:r>
    </w:p>
    <w:p w:rsidR="002D2F14" w:rsidRPr="002D2F14" w:rsidRDefault="002D2F14" w:rsidP="002D2F14">
      <w:pPr>
        <w:spacing w:line="480" w:lineRule="auto"/>
        <w:ind w:firstLine="720"/>
        <w:rPr>
          <w:rFonts w:ascii="Times New Roman" w:hAnsi="Times New Roman" w:cs="Times New Roman"/>
          <w:sz w:val="24"/>
          <w:szCs w:val="24"/>
        </w:rPr>
      </w:pPr>
      <w:r w:rsidRPr="002D2F14">
        <w:rPr>
          <w:rFonts w:ascii="Times New Roman" w:hAnsi="Times New Roman" w:cs="Times New Roman"/>
          <w:sz w:val="24"/>
          <w:szCs w:val="24"/>
        </w:rPr>
        <w:t xml:space="preserve">The KPMG report in 2017 regarding 4,900 companies in all industry sectors shows 60% healthy rate of corporate responsibility. However, the report also shows that the link between the corporate responsibility activity and the UN sustainable development goals (SDGs) still remain low (at 43%) even though many businesses have resonated with the SDGs well. Further, the report shows that majority of the companies have disclosed their intention or plan to cut their carbon emissions by 67% in 2017. The Earnest and Young survey report in 2017 on 300 financial institutions in the banking industry shows that the banks expect the risks and regulations to continue impacting their operations in the next 12 months. The report further </w:t>
      </w:r>
      <w:r w:rsidRPr="002D2F14">
        <w:rPr>
          <w:rFonts w:ascii="Times New Roman" w:hAnsi="Times New Roman" w:cs="Times New Roman"/>
          <w:sz w:val="24"/>
          <w:szCs w:val="24"/>
        </w:rPr>
        <w:lastRenderedPageBreak/>
        <w:t xml:space="preserve">shows that the banks have designed strategic priorities and proposed action plans that can help them protect their operations and perform better in the market. </w:t>
      </w:r>
    </w:p>
    <w:p w:rsidR="002D2F14" w:rsidRPr="002D2F14" w:rsidRDefault="002D2F14" w:rsidP="002D2F14">
      <w:pPr>
        <w:spacing w:line="480" w:lineRule="auto"/>
        <w:ind w:firstLine="720"/>
        <w:rPr>
          <w:rFonts w:ascii="Times New Roman" w:hAnsi="Times New Roman" w:cs="Times New Roman"/>
          <w:sz w:val="24"/>
          <w:szCs w:val="24"/>
        </w:rPr>
      </w:pPr>
      <w:r w:rsidRPr="002D2F14">
        <w:rPr>
          <w:rFonts w:ascii="Times New Roman" w:hAnsi="Times New Roman" w:cs="Times New Roman"/>
          <w:sz w:val="24"/>
          <w:szCs w:val="24"/>
        </w:rPr>
        <w:t xml:space="preserve">Human rights are also another trend that is on the rise in many organizations. The UN endorsement of the guiding principles on business and human rights in 2011 saw many companies undertake corporate changes to fit the requirements. The KPMG report of 2017 shows that 73% of companies have started to acknowledge the role and significance of human rights as a global business issue. However, due to the inadequate or lack of public human rights policy, most companies suggest that a lot still needs to be done. KPMG report shows that many companies have not adopted their own human rights policy. Therefore, lack of such critical documents in the companies suggests that there is still much work to be done. </w:t>
      </w:r>
    </w:p>
    <w:p w:rsidR="00FA42E4" w:rsidRDefault="002D2F14" w:rsidP="002D2F14">
      <w:pPr>
        <w:spacing w:line="480" w:lineRule="auto"/>
        <w:ind w:firstLine="720"/>
        <w:rPr>
          <w:rFonts w:ascii="Times New Roman" w:hAnsi="Times New Roman" w:cs="Times New Roman"/>
          <w:sz w:val="24"/>
          <w:szCs w:val="24"/>
        </w:rPr>
      </w:pPr>
      <w:r w:rsidRPr="002D2F14">
        <w:rPr>
          <w:rFonts w:ascii="Times New Roman" w:hAnsi="Times New Roman" w:cs="Times New Roman"/>
          <w:sz w:val="24"/>
          <w:szCs w:val="24"/>
        </w:rPr>
        <w:t>Another trend of CSR on the rise is the minimal acknowledgment of the risks that the climate change poses. KPMG report (2017) shows that three-quarters of companies across the world have not yet acknowledged the potential financial threat that climate change poses to their businesses. The report also shows that only 28% of the companies have realized that impact s on climate change and how it affects their financial performance; another 78% are yet to acknowledge it. Countries with the highest rate of climate change include Taiwan, France, South Africa, U.S and Canada (KPMG 32).  Each of these countries has different factors that promote climate change acknowledgment. For instance, in Taiwan, the Taiwanese Stock Exchange listing requirement that was newly introduced in the policy frameworks have significantly enhanced acknowledgment of climate risks</w:t>
      </w:r>
      <w:r w:rsidR="00E14D0B">
        <w:rPr>
          <w:rFonts w:ascii="Times New Roman" w:hAnsi="Times New Roman" w:cs="Times New Roman"/>
          <w:sz w:val="24"/>
          <w:szCs w:val="24"/>
        </w:rPr>
        <w:t xml:space="preserve">. </w:t>
      </w:r>
    </w:p>
    <w:p w:rsidR="002D2F14" w:rsidRDefault="002D2F14" w:rsidP="002D2F14">
      <w:pPr>
        <w:spacing w:line="480" w:lineRule="auto"/>
        <w:rPr>
          <w:rFonts w:ascii="Times New Roman" w:hAnsi="Times New Roman" w:cs="Times New Roman"/>
          <w:sz w:val="24"/>
          <w:szCs w:val="24"/>
        </w:rPr>
      </w:pPr>
    </w:p>
    <w:p w:rsidR="002D2F14" w:rsidRDefault="002D2F14" w:rsidP="002D2F14">
      <w:pPr>
        <w:spacing w:line="480" w:lineRule="auto"/>
        <w:rPr>
          <w:rFonts w:ascii="Times New Roman" w:hAnsi="Times New Roman" w:cs="Times New Roman"/>
          <w:sz w:val="24"/>
          <w:szCs w:val="24"/>
        </w:rPr>
      </w:pPr>
    </w:p>
    <w:p w:rsidR="002D2F14" w:rsidRPr="00851B9C" w:rsidRDefault="002D2F14" w:rsidP="002D2F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51B9C" w:rsidRPr="00851B9C" w:rsidRDefault="00851B9C" w:rsidP="002D2F14">
      <w:pPr>
        <w:spacing w:line="480" w:lineRule="auto"/>
        <w:ind w:left="720" w:hanging="720"/>
        <w:rPr>
          <w:rFonts w:ascii="Times New Roman" w:hAnsi="Times New Roman" w:cs="Times New Roman"/>
          <w:sz w:val="24"/>
          <w:szCs w:val="24"/>
        </w:rPr>
      </w:pPr>
      <w:r w:rsidRPr="00851B9C">
        <w:rPr>
          <w:rFonts w:ascii="Times New Roman" w:hAnsi="Times New Roman" w:cs="Times New Roman"/>
          <w:sz w:val="24"/>
          <w:szCs w:val="24"/>
        </w:rPr>
        <w:t>Ernst and Young</w:t>
      </w:r>
      <w:r>
        <w:rPr>
          <w:rFonts w:ascii="Times New Roman" w:hAnsi="Times New Roman" w:cs="Times New Roman"/>
          <w:sz w:val="24"/>
          <w:szCs w:val="24"/>
        </w:rPr>
        <w:t xml:space="preserve">. </w:t>
      </w:r>
      <w:r w:rsidRPr="00851B9C">
        <w:rPr>
          <w:rFonts w:ascii="Times New Roman" w:hAnsi="Times New Roman" w:cs="Times New Roman"/>
          <w:sz w:val="24"/>
          <w:szCs w:val="24"/>
        </w:rPr>
        <w:t xml:space="preserve">Uncertainty is no Excuse for Inaction: Global Banking Outlook 2017. </w:t>
      </w:r>
      <w:r w:rsidRPr="00851B9C">
        <w:rPr>
          <w:rFonts w:ascii="Times New Roman" w:hAnsi="Times New Roman" w:cs="Times New Roman"/>
          <w:i/>
          <w:sz w:val="24"/>
          <w:szCs w:val="24"/>
        </w:rPr>
        <w:t>EY Surveys</w:t>
      </w:r>
      <w:r>
        <w:rPr>
          <w:rFonts w:ascii="Times New Roman" w:hAnsi="Times New Roman" w:cs="Times New Roman"/>
          <w:sz w:val="24"/>
          <w:szCs w:val="24"/>
        </w:rPr>
        <w:t xml:space="preserve">, 2017. </w:t>
      </w:r>
      <w:r w:rsidRPr="00851B9C">
        <w:rPr>
          <w:rFonts w:ascii="Times New Roman" w:hAnsi="Times New Roman" w:cs="Times New Roman"/>
          <w:sz w:val="24"/>
          <w:szCs w:val="24"/>
        </w:rPr>
        <w:t xml:space="preserve"> </w:t>
      </w:r>
      <w:r w:rsidR="00CF05EC">
        <w:rPr>
          <w:rFonts w:ascii="Times New Roman" w:hAnsi="Times New Roman" w:cs="Times New Roman"/>
          <w:sz w:val="24"/>
          <w:szCs w:val="24"/>
        </w:rPr>
        <w:t xml:space="preserve">Accessed on December 12, 2017 </w:t>
      </w:r>
      <w:r w:rsidRPr="00851B9C">
        <w:rPr>
          <w:rFonts w:ascii="Times New Roman" w:hAnsi="Times New Roman" w:cs="Times New Roman"/>
          <w:sz w:val="24"/>
          <w:szCs w:val="24"/>
        </w:rPr>
        <w:t>from http://www.ey.com/gl/en/industries/financial-services/banking---capital-markets/ey-global-banking-outlook-2017</w:t>
      </w:r>
    </w:p>
    <w:p w:rsidR="00FA42E4" w:rsidRPr="00851B9C" w:rsidRDefault="00851B9C" w:rsidP="002D2F1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KPMG. </w:t>
      </w:r>
      <w:r w:rsidR="00FA42E4" w:rsidRPr="00851B9C">
        <w:rPr>
          <w:rFonts w:ascii="Times New Roman" w:hAnsi="Times New Roman" w:cs="Times New Roman"/>
          <w:sz w:val="24"/>
          <w:szCs w:val="24"/>
        </w:rPr>
        <w:t xml:space="preserve">The Road Ahead: The KPMG Survey of Corporate Responsibility Reporting 2017. </w:t>
      </w:r>
      <w:r>
        <w:rPr>
          <w:rFonts w:ascii="Times New Roman" w:hAnsi="Times New Roman" w:cs="Times New Roman"/>
          <w:i/>
          <w:sz w:val="24"/>
          <w:szCs w:val="24"/>
        </w:rPr>
        <w:t xml:space="preserve">KPMG, </w:t>
      </w:r>
      <w:r w:rsidRPr="00851B9C">
        <w:rPr>
          <w:rFonts w:ascii="Times New Roman" w:hAnsi="Times New Roman" w:cs="Times New Roman"/>
          <w:sz w:val="24"/>
          <w:szCs w:val="24"/>
        </w:rPr>
        <w:t>2017</w:t>
      </w:r>
      <w:r>
        <w:rPr>
          <w:rFonts w:ascii="Times New Roman" w:hAnsi="Times New Roman" w:cs="Times New Roman"/>
          <w:i/>
          <w:sz w:val="24"/>
          <w:szCs w:val="24"/>
        </w:rPr>
        <w:t xml:space="preserve">. </w:t>
      </w:r>
      <w:r w:rsidR="00CF05EC">
        <w:rPr>
          <w:rFonts w:ascii="Times New Roman" w:hAnsi="Times New Roman" w:cs="Times New Roman"/>
          <w:sz w:val="24"/>
          <w:szCs w:val="24"/>
        </w:rPr>
        <w:t xml:space="preserve"> </w:t>
      </w:r>
      <w:bookmarkStart w:id="0" w:name="_GoBack"/>
      <w:bookmarkEnd w:id="0"/>
      <w:r w:rsidR="00CF05EC">
        <w:rPr>
          <w:rFonts w:ascii="Times New Roman" w:hAnsi="Times New Roman" w:cs="Times New Roman"/>
          <w:sz w:val="24"/>
          <w:szCs w:val="24"/>
        </w:rPr>
        <w:t xml:space="preserve">Accessed  on December 12, 2017 </w:t>
      </w:r>
      <w:r w:rsidR="00CF05EC">
        <w:rPr>
          <w:rFonts w:ascii="Times New Roman" w:hAnsi="Times New Roman" w:cs="Times New Roman"/>
          <w:sz w:val="24"/>
          <w:szCs w:val="24"/>
        </w:rPr>
        <w:t>f</w:t>
      </w:r>
      <w:r w:rsidR="00FA42E4" w:rsidRPr="00851B9C">
        <w:rPr>
          <w:rFonts w:ascii="Times New Roman" w:hAnsi="Times New Roman" w:cs="Times New Roman"/>
          <w:sz w:val="24"/>
          <w:szCs w:val="24"/>
        </w:rPr>
        <w:t>rom https://assets.kpmg.com/content/dam/kpmg/be/pdf/2017/kpmg-survey-of-corporate-responsibility-reporting-2017.pdf</w:t>
      </w:r>
    </w:p>
    <w:sectPr w:rsidR="00FA42E4" w:rsidRPr="00851B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7B9" w:rsidRDefault="001537B9" w:rsidP="002D2F14">
      <w:pPr>
        <w:spacing w:after="0" w:line="240" w:lineRule="auto"/>
      </w:pPr>
      <w:r>
        <w:separator/>
      </w:r>
    </w:p>
  </w:endnote>
  <w:endnote w:type="continuationSeparator" w:id="0">
    <w:p w:rsidR="001537B9" w:rsidRDefault="001537B9" w:rsidP="002D2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7B9" w:rsidRDefault="001537B9" w:rsidP="002D2F14">
      <w:pPr>
        <w:spacing w:after="0" w:line="240" w:lineRule="auto"/>
      </w:pPr>
      <w:r>
        <w:separator/>
      </w:r>
    </w:p>
  </w:footnote>
  <w:footnote w:type="continuationSeparator" w:id="0">
    <w:p w:rsidR="001537B9" w:rsidRDefault="001537B9" w:rsidP="002D2F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14" w:rsidRPr="002D2F14" w:rsidRDefault="002D2F14" w:rsidP="002D2F14">
    <w:pPr>
      <w:pStyle w:val="Header"/>
      <w:jc w:val="right"/>
      <w:rPr>
        <w:rFonts w:ascii="Times New Roman" w:hAnsi="Times New Roman" w:cs="Times New Roman"/>
        <w:sz w:val="24"/>
        <w:szCs w:val="24"/>
      </w:rPr>
    </w:pPr>
    <w:r w:rsidRPr="002D2F14">
      <w:rPr>
        <w:rFonts w:ascii="Times New Roman" w:hAnsi="Times New Roman" w:cs="Times New Roman"/>
        <w:sz w:val="24"/>
        <w:szCs w:val="24"/>
      </w:rPr>
      <w:t xml:space="preserve">Surname </w:t>
    </w:r>
    <w:r w:rsidRPr="002D2F14">
      <w:rPr>
        <w:rFonts w:ascii="Times New Roman" w:hAnsi="Times New Roman" w:cs="Times New Roman"/>
        <w:sz w:val="24"/>
        <w:szCs w:val="24"/>
      </w:rPr>
      <w:fldChar w:fldCharType="begin"/>
    </w:r>
    <w:r w:rsidRPr="002D2F14">
      <w:rPr>
        <w:rFonts w:ascii="Times New Roman" w:hAnsi="Times New Roman" w:cs="Times New Roman"/>
        <w:sz w:val="24"/>
        <w:szCs w:val="24"/>
      </w:rPr>
      <w:instrText xml:space="preserve"> PAGE   \* MERGEFORMAT </w:instrText>
    </w:r>
    <w:r w:rsidRPr="002D2F14">
      <w:rPr>
        <w:rFonts w:ascii="Times New Roman" w:hAnsi="Times New Roman" w:cs="Times New Roman"/>
        <w:sz w:val="24"/>
        <w:szCs w:val="24"/>
      </w:rPr>
      <w:fldChar w:fldCharType="separate"/>
    </w:r>
    <w:r w:rsidR="00CF05EC">
      <w:rPr>
        <w:rFonts w:ascii="Times New Roman" w:hAnsi="Times New Roman" w:cs="Times New Roman"/>
        <w:noProof/>
        <w:sz w:val="24"/>
        <w:szCs w:val="24"/>
      </w:rPr>
      <w:t>4</w:t>
    </w:r>
    <w:r w:rsidRPr="002D2F1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87C"/>
    <w:rsid w:val="001537B9"/>
    <w:rsid w:val="0017773B"/>
    <w:rsid w:val="002D2F14"/>
    <w:rsid w:val="0076687C"/>
    <w:rsid w:val="00851B9C"/>
    <w:rsid w:val="009F7B58"/>
    <w:rsid w:val="00B04359"/>
    <w:rsid w:val="00CF05EC"/>
    <w:rsid w:val="00DF137E"/>
    <w:rsid w:val="00E14D0B"/>
    <w:rsid w:val="00FA42E4"/>
    <w:rsid w:val="00FA522E"/>
    <w:rsid w:val="00FB0370"/>
    <w:rsid w:val="00FD1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F14"/>
  </w:style>
  <w:style w:type="paragraph" w:styleId="Footer">
    <w:name w:val="footer"/>
    <w:basedOn w:val="Normal"/>
    <w:link w:val="FooterChar"/>
    <w:uiPriority w:val="99"/>
    <w:unhideWhenUsed/>
    <w:rsid w:val="002D2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F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F14"/>
  </w:style>
  <w:style w:type="paragraph" w:styleId="Footer">
    <w:name w:val="footer"/>
    <w:basedOn w:val="Normal"/>
    <w:link w:val="FooterChar"/>
    <w:uiPriority w:val="99"/>
    <w:unhideWhenUsed/>
    <w:rsid w:val="002D2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2017-12-12T07:00:00Z</dcterms:created>
  <dcterms:modified xsi:type="dcterms:W3CDTF">2017-12-12T08:46:00Z</dcterms:modified>
</cp:coreProperties>
</file>